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Visual System Spec Sheet</w:t>
      </w:r>
    </w:p>
    <w:p>
      <w:pPr>
        <w:pStyle w:val="Heading2"/>
      </w:pPr>
      <w:r>
        <w:t xml:space="preserve">Type Scale</w:t>
      </w:r>
    </w:p>
    <w:p>
      <w:r>
        <w:t xml:space="preserve">Lock exactly three readable levels and save them as named text styles before laying out. Contrast comes from varying weight, size, and color together.</w:t>
      </w:r>
    </w:p>
    <w:p>
      <w:r>
        <w:rPr>
          <w:b/>
          <w:bCs/>
        </w:rPr>
        <w:t xml:space="preserve">Title / display typeface: </w:t>
      </w:r>
      <w:r>
        <w:t xml:space="preserve">________________________________</w:t>
      </w:r>
    </w:p>
    <w:p>
      <w:r>
        <w:rPr>
          <w:b/>
          <w:bCs/>
        </w:rPr>
        <w:t xml:space="preserve">Workhorse body typeface: </w:t>
      </w:r>
      <w:r>
        <w:t xml:space="preserve">________________________________</w:t>
      </w:r>
    </w:p>
    <w:p>
      <w:r>
        <w:rPr>
          <w:b/>
          <w:bCs/>
        </w:rPr>
        <w:t xml:space="preserve">Level 1 size - title and hero number (e.g. 36-48 pt): </w:t>
      </w:r>
      <w:r>
        <w:t xml:space="preserve">________________________________</w:t>
      </w:r>
    </w:p>
    <w:p>
      <w:r>
        <w:rPr>
          <w:b/>
          <w:bCs/>
        </w:rPr>
        <w:t xml:space="preserve">Level 2 size - section headers and chart titles (e.g. 24 pt): </w:t>
      </w:r>
      <w:r>
        <w:t xml:space="preserve">________________________________</w:t>
      </w:r>
    </w:p>
    <w:p>
      <w:r>
        <w:rPr>
          <w:b/>
          <w:bCs/>
        </w:rPr>
        <w:t xml:space="preserve">Level 3 size - body, labels, source (e.g. 16 pt; never below ~10-12 pt at final size): </w:t>
      </w:r>
      <w:r>
        <w:t xml:space="preserve">________________________________</w:t>
      </w:r>
    </w:p>
    <w:p>
      <w:r>
        <w:rPr>
          <w:b/>
          <w:bCs/>
        </w:rPr>
        <w:t xml:space="preserve">Alignment rule (left-align dense text; center only short titles): </w:t>
      </w:r>
      <w:r>
        <w:t xml:space="preserve">________________________________</w:t>
      </w:r>
    </w:p>
    <w:p>
      <w:pPr>
        <w:pStyle w:val="Heading2"/>
      </w:pPr>
      <w:r>
        <w:t xml:space="preserve">Color Palette</w:t>
      </w:r>
    </w:p>
    <w:p>
      <w:r>
        <w:t xml:space="preserve">Color carries meaning - match the palette type to the data type, and make it accessible. Reuse the same hue for the same meaning across every chart.</w:t>
      </w:r>
    </w:p>
    <w:p>
      <w:r>
        <w:rPr>
          <w:b/>
          <w:bCs/>
        </w:rPr>
        <w:t xml:space="preserve">Palette type (sequential / diverging / categorical) and the reason it fits: </w:t>
      </w:r>
      <w:r>
        <w:t xml:space="preserve">________________________________</w:t>
      </w:r>
    </w:p>
    <w:p>
      <w:r>
        <w:rPr>
          <w:b/>
          <w:bCs/>
        </w:rPr>
        <w:t xml:space="preserve">Accent color HEX (the one highlight): </w:t>
      </w:r>
      <w:r>
        <w:t xml:space="preserve">________________________________</w:t>
      </w:r>
    </w:p>
    <w:p>
      <w:r>
        <w:rPr>
          <w:b/>
          <w:bCs/>
        </w:rPr>
        <w:t xml:space="preserve">Neutral-dark and neutral-light HEX: </w:t>
      </w:r>
      <w:r>
        <w:t xml:space="preserve">________________________________</w:t>
      </w:r>
    </w:p>
    <w:p>
      <w:r>
        <w:rPr>
          <w:b/>
          <w:bCs/>
        </w:rPr>
        <w:t xml:space="preserve">Category hues HEX (keep to ~6 or fewer): </w:t>
      </w:r>
      <w:r>
        <w:t xml:space="preserve">________________________________</w:t>
      </w:r>
    </w:p>
    <w:p>
      <w:r>
        <w:rPr>
          <w:b/>
          <w:bCs/>
        </w:rPr>
        <w:t xml:space="preserve">Contrast check result (target 4.5:1 for normal text): </w:t>
      </w:r>
      <w:r>
        <w:t xml:space="preserve">________________________________</w:t>
      </w:r>
    </w:p>
    <w:p>
      <w:r>
        <w:rPr>
          <w:b/>
          <w:bCs/>
        </w:rPr>
        <w:t xml:space="preserve">Color-blind simulator + grayscale check result: </w:t>
      </w:r>
      <w:r>
        <w:t xml:space="preserve">________________________________</w:t>
      </w:r>
    </w:p>
    <w:p>
      <w:pPr>
        <w:pStyle w:val="Heading2"/>
      </w:pPr>
      <w:r>
        <w:t xml:space="preserve">Icons and Pictographs</w:t>
      </w:r>
    </w:p>
    <w:p>
      <w:r>
        <w:t xml:space="preserve">Use one icon family at one style so sections parse at a glance, and make key quantities tangible with honest pictographs.</w:t>
      </w:r>
    </w:p>
    <w:p>
      <w:r>
        <w:rPr>
          <w:b/>
          <w:bCs/>
        </w:rPr>
        <w:t xml:space="preserve">Icon library chosen (one only) and its license/attribution requirement: </w:t>
      </w:r>
      <w:r>
        <w:t xml:space="preserve">________________________________</w:t>
      </w:r>
    </w:p>
    <w:p>
      <w:r>
        <w:rPr>
          <w:b/>
          <w:bCs/>
        </w:rPr>
        <w:t xml:space="preserve">Icon style locked (stroke weight, fill vs outline, corner radius): </w:t>
      </w:r>
      <w:r>
        <w:t xml:space="preserve">________________________________</w:t>
      </w:r>
    </w:p>
    <w:p>
      <w:r>
        <w:rPr>
          <w:b/>
          <w:bCs/>
        </w:rPr>
        <w:t xml:space="preserve">Minimum legible icon size confirmed (e.g. readable at 24 px): </w:t>
      </w:r>
      <w:r>
        <w:t xml:space="preserve">________________________________</w:t>
      </w:r>
    </w:p>
    <w:p>
      <w:r>
        <w:rPr>
          <w:b/>
          <w:bCs/>
        </w:rPr>
        <w:t xml:space="preserve">Hero number expressed as a pictograph (Y/N) and value-per-symbol: </w:t>
      </w:r>
      <w:r>
        <w:t xml:space="preserve">________________________________</w:t>
      </w:r>
    </w:p>
    <w:p>
      <w:r>
        <w:rPr>
          <w:b/>
          <w:bCs/>
        </w:rPr>
        <w:t xml:space="preserve">Neurath rule honored: more symbols of the same size, never one bigger symbol: </w:t>
      </w:r>
      <w:r>
        <w:t xml:space="preserve">________________________________</w:t>
      </w:r>
    </w:p>
    <w:p>
      <w:r>
        <w:rPr>
          <w:b/>
          <w:bCs/>
        </w:rPr>
        <w:t xml:space="preserve">Icons saved as reusable components (Y/N):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2026-06-07T04:31:31.122Z</dcterms:created>
  <dcterms:modified xsi:type="dcterms:W3CDTF">2026-06-07T04:31:31.122Z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