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Incrementality Test &amp; Reconciliation Plan</w:t>
      </w:r>
    </w:p>
    <w:p>
      <w:pPr>
        <w:pStyle w:val="Heading2"/>
      </w:pPr>
      <w:r>
        <w:t xml:space="preserve">Channel Under Test</w:t>
      </w:r>
    </w:p>
    <w:p>
      <w:r>
        <w:t xml:space="preserve">Record the channel you most doubt is incremental (often branded search or retargeting) and the hypothesis you are testing. Run one copy of this template per test.</w:t>
      </w:r>
    </w:p>
    <w:p>
      <w:r>
        <w:rPr>
          <w:b/>
          <w:bCs/>
        </w:rPr>
        <w:t xml:space="preserve">Channel under test: </w:t>
      </w:r>
      <w:r>
        <w:t xml:space="preserve">________________________________</w:t>
      </w:r>
    </w:p>
    <w:p>
      <w:r>
        <w:rPr>
          <w:b/>
          <w:bCs/>
        </w:rPr>
        <w:t xml:space="preserve">Hypothesis (e.g. branded search is mostly non-incremental): </w:t>
      </w:r>
      <w:r>
        <w:t xml:space="preserve">________________________________</w:t>
      </w:r>
    </w:p>
    <w:p>
      <w:r>
        <w:rPr>
          <w:b/>
          <w:bCs/>
        </w:rPr>
        <w:t xml:space="preserve">Why you doubt it (the removal-effect intuition): </w:t>
      </w:r>
      <w:r>
        <w:t xml:space="preserve">________________________________</w:t>
      </w:r>
    </w:p>
    <w:p>
      <w:r>
        <w:rPr>
          <w:b/>
          <w:bCs/>
        </w:rPr>
        <w:t xml:space="preserve">Current model-of-record credit this channel claims: </w:t>
      </w:r>
      <w:r>
        <w:t xml:space="preserve">________________________________</w:t>
      </w:r>
    </w:p>
    <w:p>
      <w:pPr>
        <w:pStyle w:val="Heading2"/>
      </w:pPr>
      <w:r>
        <w:t xml:space="preserve">Experiment Design</w:t>
      </w:r>
    </w:p>
    <w:p>
      <w:r>
        <w:t xml:space="preserve">Specify the controlled experiment that will prove causality. Choose a user-level holdout where possible, or a matched geo experiment when it is not, and fix the rules before you start so the result cannot be rationalised away.</w:t>
      </w:r>
    </w:p>
    <w:p>
      <w:r>
        <w:rPr>
          <w:b/>
          <w:bCs/>
        </w:rPr>
        <w:t xml:space="preserve">Method (conversion-lift holdout via Meta/Google, or geo experiment via GeoLift/Robyn): </w:t>
      </w:r>
      <w:r>
        <w:t xml:space="preserve">________________________________</w:t>
      </w:r>
    </w:p>
    <w:p>
      <w:r>
        <w:rPr>
          <w:b/>
          <w:bCs/>
        </w:rPr>
        <w:t xml:space="preserve">Exposed group vs holdout/control definition (how regions/users are matched): </w:t>
      </w:r>
      <w:r>
        <w:t xml:space="preserve">________________________________</w:t>
      </w:r>
    </w:p>
    <w:p>
      <w:r>
        <w:rPr>
          <w:b/>
          <w:bCs/>
        </w:rPr>
        <w:t xml:space="preserve">Test duration and primary metric (back-end conversions or revenue): </w:t>
      </w:r>
      <w:r>
        <w:t xml:space="preserve">________________________________</w:t>
      </w:r>
    </w:p>
    <w:p>
      <w:r>
        <w:rPr>
          <w:b/>
          <w:bCs/>
        </w:rPr>
        <w:t xml:space="preserve">Pre-committed decision rule: what lift makes you keep, cut, or shift this budget?: </w:t>
      </w:r>
      <w:r>
        <w:t xml:space="preserve">________________________________</w:t>
      </w:r>
    </w:p>
    <w:p>
      <w:pPr>
        <w:pStyle w:val="Heading2"/>
      </w:pPr>
      <w:r>
        <w:t xml:space="preserve">Tool Reconciliation Record</w:t>
      </w:r>
    </w:p>
    <w:p>
      <w:r>
        <w:t xml:space="preserve">Document how your conflicting tools are reconciled so debates stop being about whose number is right. Anchor on the back-end total and assign each tool to the job it is best for.</w:t>
      </w:r>
    </w:p>
    <w:p>
      <w:r>
        <w:rPr>
          <w:b/>
          <w:bCs/>
        </w:rPr>
        <w:t xml:space="preserve">Back-end total (the denominator that cannot double-count): </w:t>
      </w:r>
      <w:r>
        <w:t xml:space="preserve">________________________________</w:t>
      </w:r>
    </w:p>
    <w:p>
      <w:r>
        <w:rPr>
          <w:b/>
          <w:bCs/>
        </w:rPr>
        <w:t xml:space="preserve">Tool used for neutral cross-channel comparison (e.g. GA4 data-driven): </w:t>
      </w:r>
      <w:r>
        <w:t xml:space="preserve">________________________________</w:t>
      </w:r>
    </w:p>
    <w:p>
      <w:r>
        <w:rPr>
          <w:b/>
          <w:bCs/>
        </w:rPr>
        <w:t xml:space="preserve">Tool(s) used for per-platform optimisation: </w:t>
      </w:r>
      <w:r>
        <w:t xml:space="preserve">________________________________</w:t>
      </w:r>
    </w:p>
    <w:p>
      <w:r>
        <w:rPr>
          <w:b/>
          <w:bCs/>
        </w:rPr>
        <w:t xml:space="preserve">The one agreed model + lookback window + dashboard for the whole team: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2026-06-07T11:53:10.162Z</dcterms:created>
  <dcterms:modified xsi:type="dcterms:W3CDTF">2026-06-07T11:53:10.162Z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