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Sign-Type Specification Sheet</w:t>
      </w:r>
    </w:p>
    <w:p>
      <w:pPr>
        <w:pStyle w:val="Heading2"/>
      </w:pPr>
      <w:r>
        <w:t xml:space="preserve">Sign Type Identity</w:t>
      </w:r>
    </w:p>
    <w:p>
      <w:r>
        <w:t xml:space="preserve">Identify the sign type and its role so it can be reused at every matching location and cross-referenced to the message schedule.</w:t>
      </w:r>
    </w:p>
    <w:p>
      <w:r>
        <w:rPr>
          <w:b/>
          <w:bCs/>
        </w:rPr>
        <w:t xml:space="preserve">Type code (e.g., D.1): </w:t>
      </w:r>
      <w:r>
        <w:t xml:space="preserve">________________________________</w:t>
      </w:r>
    </w:p>
    <w:p>
      <w:r>
        <w:rPr>
          <w:b/>
          <w:bCs/>
        </w:rPr>
        <w:t xml:space="preserve">Family (ID / Directional / Informational / Regulatory): </w:t>
      </w:r>
      <w:r>
        <w:t xml:space="preserve">________________________________</w:t>
      </w:r>
    </w:p>
    <w:p>
      <w:r>
        <w:rPr>
          <w:b/>
          <w:bCs/>
        </w:rPr>
        <w:t xml:space="preserve">Purpose and where used: </w:t>
      </w:r>
      <w:r>
        <w:t xml:space="preserve">________________________________</w:t>
      </w:r>
    </w:p>
    <w:p>
      <w:r>
        <w:rPr>
          <w:b/>
          <w:bCs/>
        </w:rPr>
        <w:t xml:space="preserve">Number of locations it serves: </w:t>
      </w:r>
      <w:r>
        <w:t xml:space="preserve">________________________________</w:t>
      </w:r>
    </w:p>
    <w:p>
      <w:pPr>
        <w:pStyle w:val="Heading2"/>
      </w:pPr>
      <w:r>
        <w:t xml:space="preserve">Dimensions, Layout &amp; Type</w:t>
      </w:r>
    </w:p>
    <w:p>
      <w:r>
        <w:t xml:space="preserve">Fix the size and layout grid so every instance looks identical. State type sizes for each message level.</w:t>
      </w:r>
    </w:p>
    <w:p>
      <w:r>
        <w:rPr>
          <w:b/>
          <w:bCs/>
        </w:rPr>
        <w:t xml:space="preserve">Overall size (W x H): </w:t>
      </w:r>
      <w:r>
        <w:t xml:space="preserve">________________________________</w:t>
      </w:r>
    </w:p>
    <w:p>
      <w:r>
        <w:rPr>
          <w:b/>
          <w:bCs/>
        </w:rPr>
        <w:t xml:space="preserve">Layout grid / margins: </w:t>
      </w:r>
      <w:r>
        <w:t xml:space="preserve">________________________________</w:t>
      </w:r>
    </w:p>
    <w:p>
      <w:r>
        <w:rPr>
          <w:b/>
          <w:bCs/>
        </w:rPr>
        <w:t xml:space="preserve">Primary message type size &amp; font: </w:t>
      </w:r>
      <w:r>
        <w:t xml:space="preserve">________________________________</w:t>
      </w:r>
    </w:p>
    <w:p>
      <w:r>
        <w:rPr>
          <w:b/>
          <w:bCs/>
        </w:rPr>
        <w:t xml:space="preserve">Secondary / tertiary type sizes: </w:t>
      </w:r>
      <w:r>
        <w:t xml:space="preserve">________________________________</w:t>
      </w:r>
    </w:p>
    <w:p>
      <w:r>
        <w:rPr>
          <w:b/>
          <w:bCs/>
        </w:rPr>
        <w:t xml:space="preserve">Arrow and symbol placement: </w:t>
      </w:r>
      <w:r>
        <w:t xml:space="preserve">________________________________</w:t>
      </w:r>
    </w:p>
    <w:p>
      <w:pPr>
        <w:pStyle w:val="Heading2"/>
      </w:pPr>
      <w:r>
        <w:t xml:space="preserve">Colour, Material &amp; Finish</w:t>
      </w:r>
    </w:p>
    <w:p>
      <w:r>
        <w:t xml:space="preserve">Give exact colour references and the substrate, graphic method, and finish so the fabricator can quote and match.</w:t>
      </w:r>
    </w:p>
    <w:p>
      <w:r>
        <w:rPr>
          <w:b/>
          <w:bCs/>
        </w:rPr>
        <w:t xml:space="preserve">Colour references (brand + zone): </w:t>
      </w:r>
      <w:r>
        <w:t xml:space="preserve">________________________________</w:t>
      </w:r>
    </w:p>
    <w:p>
      <w:r>
        <w:rPr>
          <w:b/>
          <w:bCs/>
        </w:rPr>
        <w:t xml:space="preserve">Substrate: </w:t>
      </w:r>
      <w:r>
        <w:t xml:space="preserve">________________________________</w:t>
      </w:r>
    </w:p>
    <w:p>
      <w:r>
        <w:rPr>
          <w:b/>
          <w:bCs/>
        </w:rPr>
        <w:t xml:space="preserve">Graphic application method: </w:t>
      </w:r>
      <w:r>
        <w:t xml:space="preserve">________________________________</w:t>
      </w:r>
    </w:p>
    <w:p>
      <w:r>
        <w:rPr>
          <w:b/>
          <w:bCs/>
        </w:rPr>
        <w:t xml:space="preserve">Finish (non-glare / illuminated): </w:t>
      </w:r>
      <w:r>
        <w:t xml:space="preserve">________________________________</w:t>
      </w:r>
    </w:p>
    <w:p>
      <w:r>
        <w:rPr>
          <w:b/>
          <w:bCs/>
        </w:rPr>
        <w:t xml:space="preserve">Contrast confirmed (Y/N): </w:t>
      </w:r>
      <w:r>
        <w:t xml:space="preserve">________________________________</w:t>
      </w:r>
    </w:p>
    <w:p>
      <w:pPr>
        <w:pStyle w:val="Heading2"/>
      </w:pPr>
      <w:r>
        <w:t xml:space="preserve">Mounting, Code &amp; Accessibility</w:t>
      </w:r>
    </w:p>
    <w:p>
      <w:r>
        <w:t xml:space="preserve">Specify how it attaches, at what height, and any tactile/Braille and code requirements that apply to this type.</w:t>
      </w:r>
    </w:p>
    <w:p>
      <w:r>
        <w:rPr>
          <w:b/>
          <w:bCs/>
        </w:rPr>
        <w:t xml:space="preserve">Mounting method: </w:t>
      </w:r>
      <w:r>
        <w:t xml:space="preserve">________________________________</w:t>
      </w:r>
    </w:p>
    <w:p>
      <w:r>
        <w:rPr>
          <w:b/>
          <w:bCs/>
        </w:rPr>
        <w:t xml:space="preserve">Mounting height / clearance: </w:t>
      </w:r>
      <w:r>
        <w:t xml:space="preserve">________________________________</w:t>
      </w:r>
    </w:p>
    <w:p>
      <w:r>
        <w:rPr>
          <w:b/>
          <w:bCs/>
        </w:rPr>
        <w:t xml:space="preserve">Tactile + Grade 2 Braille required (Y/N): </w:t>
      </w:r>
      <w:r>
        <w:t xml:space="preserve">________________________________</w:t>
      </w:r>
    </w:p>
    <w:p>
      <w:r>
        <w:rPr>
          <w:b/>
          <w:bCs/>
        </w:rPr>
        <w:t xml:space="preserve">ADA / ISO notes: </w:t>
      </w:r>
      <w:r>
        <w:t xml:space="preserve">________________________________</w:t>
      </w:r>
    </w:p>
    <w:p>
      <w:r>
        <w:rPr>
          <w:b/>
          <w:bCs/>
        </w:rPr>
        <w:t xml:space="preserve">Fixings and substrate prep: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2026-06-07T04:31:15.891Z</dcterms:created>
  <dcterms:modified xsi:type="dcterms:W3CDTF">2026-06-07T04:31:15.891Z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