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Financial Statement Red-Flag Review</w:t>
      </w:r>
    </w:p>
    <w:p>
      <w:pPr>
        <w:pStyle w:val="Heading2"/>
      </w:pPr>
      <w:r>
        <w:t xml:space="preserve">Company and filing details</w:t>
      </w:r>
    </w:p>
    <w:p>
      <w:r>
        <w:t xml:space="preserve">Record the company, filing type and date, accounting standard, and auditor opinion before beginning the review.</w:t>
      </w:r>
    </w:p>
    <w:p>
      <w:r>
        <w:rPr>
          <w:b/>
          <w:bCs/>
        </w:rPr>
        <w:t xml:space="preserve">Company name: </w:t>
      </w:r>
      <w:r>
        <w:t xml:space="preserve">________________________________</w:t>
      </w:r>
    </w:p>
    <w:p>
      <w:r>
        <w:rPr>
          <w:b/>
          <w:bCs/>
        </w:rPr>
        <w:t xml:space="preserve">Filing type and date: </w:t>
      </w:r>
      <w:r>
        <w:t xml:space="preserve">________________________________</w:t>
      </w:r>
    </w:p>
    <w:p>
      <w:r>
        <w:rPr>
          <w:b/>
          <w:bCs/>
        </w:rPr>
        <w:t xml:space="preserve">Accounting standard: </w:t>
      </w:r>
      <w:r>
        <w:t xml:space="preserve">________________________________</w:t>
      </w:r>
    </w:p>
    <w:p>
      <w:r>
        <w:rPr>
          <w:b/>
          <w:bCs/>
        </w:rPr>
        <w:t xml:space="preserve">Auditor opinion type: </w:t>
      </w:r>
      <w:r>
        <w:t xml:space="preserve">________________________________</w:t>
      </w:r>
    </w:p>
    <w:p>
      <w:pPr>
        <w:pStyle w:val="Heading2"/>
      </w:pPr>
      <w:r>
        <w:t xml:space="preserve">Income statement red flags</w:t>
      </w:r>
    </w:p>
    <w:p>
      <w:r>
        <w:t xml:space="preserve">Note whether revenue outpaces cash collection, whether margins are slipping, and whether profit relies on one-time items or adjusted figures.</w:t>
      </w:r>
    </w:p>
    <w:p>
      <w:r>
        <w:rPr>
          <w:b/>
          <w:bCs/>
        </w:rPr>
        <w:t xml:space="preserve">Revenue vs cash collection trend: </w:t>
      </w:r>
      <w:r>
        <w:t xml:space="preserve">________________________________</w:t>
      </w:r>
    </w:p>
    <w:p>
      <w:r>
        <w:rPr>
          <w:b/>
          <w:bCs/>
        </w:rPr>
        <w:t xml:space="preserve">Margin trend over three periods: </w:t>
      </w:r>
      <w:r>
        <w:t xml:space="preserve">________________________________</w:t>
      </w:r>
    </w:p>
    <w:p>
      <w:r>
        <w:rPr>
          <w:b/>
          <w:bCs/>
        </w:rPr>
        <w:t xml:space="preserve">One-time items affecting profit: </w:t>
      </w:r>
      <w:r>
        <w:t xml:space="preserve">________________________________</w:t>
      </w:r>
    </w:p>
    <w:p>
      <w:r>
        <w:rPr>
          <w:b/>
          <w:bCs/>
        </w:rPr>
        <w:t xml:space="preserve">Use of adjusted or pro forma figures: </w:t>
      </w:r>
      <w:r>
        <w:t xml:space="preserve">________________________________</w:t>
      </w:r>
    </w:p>
    <w:p>
      <w:pPr>
        <w:pStyle w:val="Heading2"/>
      </w:pPr>
      <w:r>
        <w:t xml:space="preserve">Balance sheet red flags</w:t>
      </w:r>
    </w:p>
    <w:p>
      <w:r>
        <w:t xml:space="preserve">Check the equation, liquidity ratios, leverage, goodwill size, and upcoming debt maturities.</w:t>
      </w:r>
    </w:p>
    <w:p>
      <w:r>
        <w:rPr>
          <w:b/>
          <w:bCs/>
        </w:rPr>
        <w:t xml:space="preserve">Equation balances (yes/no): </w:t>
      </w:r>
      <w:r>
        <w:t xml:space="preserve">________________________________</w:t>
      </w:r>
    </w:p>
    <w:p>
      <w:r>
        <w:rPr>
          <w:b/>
          <w:bCs/>
        </w:rPr>
        <w:t xml:space="preserve">Quick ratio value: </w:t>
      </w:r>
      <w:r>
        <w:t xml:space="preserve">________________________________</w:t>
      </w:r>
    </w:p>
    <w:p>
      <w:r>
        <w:rPr>
          <w:b/>
          <w:bCs/>
        </w:rPr>
        <w:t xml:space="preserve">Debt-to-equity vs peers: </w:t>
      </w:r>
      <w:r>
        <w:t xml:space="preserve">________________________________</w:t>
      </w:r>
    </w:p>
    <w:p>
      <w:r>
        <w:rPr>
          <w:b/>
          <w:bCs/>
        </w:rPr>
        <w:t xml:space="preserve">Large debt maturing within 12 months: </w:t>
      </w:r>
      <w:r>
        <w:t xml:space="preserve">________________________________</w:t>
      </w:r>
    </w:p>
    <w:p>
      <w:pPr>
        <w:pStyle w:val="Heading2"/>
      </w:pPr>
      <w:r>
        <w:t xml:space="preserve">Cash flow red flags and verdict</w:t>
      </w:r>
    </w:p>
    <w:p>
      <w:r>
        <w:t xml:space="preserve">Compare net income to operating cash flow, assess free cash flow, and write a final one-paragraph verdict.</w:t>
      </w:r>
    </w:p>
    <w:p>
      <w:r>
        <w:rPr>
          <w:b/>
          <w:bCs/>
        </w:rPr>
        <w:t xml:space="preserve">Net income vs operating cash flow gap: </w:t>
      </w:r>
      <w:r>
        <w:t xml:space="preserve">________________________________</w:t>
      </w:r>
    </w:p>
    <w:p>
      <w:r>
        <w:rPr>
          <w:b/>
          <w:bCs/>
        </w:rPr>
        <w:t xml:space="preserve">Free cash flow positive or negative: </w:t>
      </w:r>
      <w:r>
        <w:t xml:space="preserve">________________________________</w:t>
      </w:r>
    </w:p>
    <w:p>
      <w:r>
        <w:rPr>
          <w:b/>
          <w:bCs/>
        </w:rPr>
        <w:t xml:space="preserve">Reliance on financing inflows: </w:t>
      </w:r>
      <w:r>
        <w:t xml:space="preserve">________________________________</w:t>
      </w:r>
    </w:p>
    <w:p>
      <w:r>
        <w:rPr>
          <w:b/>
          <w:bCs/>
        </w:rPr>
        <w:t xml:space="preserve">Final verdict paragraph: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2026-06-07T04:32:04.544Z</dcterms:created>
  <dcterms:modified xsi:type="dcterms:W3CDTF">2026-06-07T04:32:04.544Z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